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18 декабря 2021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 «Локальное лечение в эпоху системной терапии»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8:55-9:00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«Рош» (не обеспечивается кредитами НМО)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проф. Моисеенко Владимир Михайлович, д.м.н., Директор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«Гепатобилиарная и панкреатическая хирургия в Японии - Опыт Цукидзи». «Hepatobiliary and Pancreatic Surgery in Japan - Tsukiji Experience»</w:t>
            </w:r>
          </w:p>
          <w:p w14:paraId="1B497F47" w14:textId="7011E34E" w:rsidRDefault="005A133E" w:rsidP="005A133E">
            <w:pPr>
              <w:pStyle w:val="a7"/>
            </w:pPr>
            <w:r>
              <w:t>Японские хирурги известны во всем мире разработкой эмболизации ветви воротной вены, анатомической субгментэктомии печени и резекции прогрессирующей перихилярной холангиокарциномы. Гепатобилиарная и панкреатическая хирургия в Японии характеризуется низкой заболеваемостью и смертностью, а также высокой частотой излечения, основанной на тщательном периоперационном ведении и точных хирургических методах. Разберем опыт хирургии перихилярной холангиокарциномы (трисекция печени слева, резекция и реконструкция печеночной артерии или воротной вены, гепато-панкретикодуоденэктомия), а также лапароскопической гепатэктомии и панкреатэктомии.</w:t>
            </w:r>
          </w:p>
          <w:p w14:paraId="6DA4934B" w14:textId="2CADACF3" w:rsidRDefault="005A133E" w:rsidP="00FA1D20">
            <w:r>
              <w:t>Минору Эсаки к.м.н., заведующий отделением гепатобилиарной и панкреатической хирургии Национального онкологического центра. Токио, Япония. Minoru Esaki, MD, PhD. Chief of department of hepatobiliary and pancreatic surgery, National Cancer Center Hospital, Tokyo, Japan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 чего начинать лечение рака яичников: сначала операция или химиотерапия?»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будут освещены современные тенденции лечения рака яичников. Большое внимание будет уделено выбору начального этапа лечения – операция или химиотерапия, влиянию метода выбора на показатели выживаемости. Будут рассмотрены проблемы агрессивного хирургического лечения, обсуждены показания к проведению химиотерапии на первом этапе.</w:t>
            </w:r>
          </w:p>
          <w:p w14:paraId="6DA4934B" w14:textId="2CADACF3" w:rsidRDefault="005A133E" w:rsidP="00FA1D20">
            <w:r>
              <w:t>Саевец Валерия Владимировна к.м.н., заведующая онкологическим гинекологическим отделением ГБУЗ «Челябинский областной клинический центр онкологии и ядерной медицины», доцент кафедры онкологии, лучевой диагностики и лучевой терапии ФГБОУ ВО «Южно-Уральский государственный медицинский университет» МР. Челябинск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«Операция или системная терапия опухоли при обнаружении микросателлитной нестабильности?»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будет обсуждена важность определения микросателлитной нестабильности при различных онкологических заболеваниях. Планируется определить место хирургических методов лечения у пациентов с положительным MSI статусом. В итоге будут сформулированы возможные алгоритмы лечения больных с положительным МSI статусом при различных онкологических заболеваниях.</w:t>
            </w:r>
          </w:p>
          <w:p w14:paraId="6DA4934B" w14:textId="2CADACF3" w:rsidRDefault="005A133E" w:rsidP="00FA1D20">
            <w:r>
              <w:t>Навматуля Александр Юрьевич к.м.н., заведующий отделением абдоминальной онкологии ГБУЗ «СПбКНпЦСВМП(о)». Доцент кафедры Военно-морской хирургии Военно-медицинской академии имени С.М. Кирова.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 при поддержке «Р-Фарм» (не обеспечивается кредитами НМО)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11:25-11:40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«Терапия ALK-позитивного НМРЛ: первый шаг определяет прогноз»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«Р-Фарм» (не обеспечивается кредитами НМО)</w:t>
            </w:r>
          </w:p>
          <w:p w14:paraId="6DA4934B" w14:textId="2CADACF3" w:rsidRDefault="005A133E" w:rsidP="00FA1D20">
            <w:r>
              <w:t>Моисеенко Фёдор Владимирович д.м.н., врач высшей квалификационной категории, заведующий отделением биотерапии ГБУЗ «СПбКНпЦСВМП(о)». Доцент кафедры онкологии ГБОУ ВПО «Северо-Западный государственный медицинский университет им. И.И. Мечникова» Минздрава РФ.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11:40-12:10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«Место радиохирургии в лечении диссеминированных опухолей»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представлены теоретические и практические аспекты обоснования целесообразности применения локальных методов воздействия на опухоль, в частности, лучевой терапии, в лечении больных с диссеминированными опухолями, преимущества, недостатки и возможные направления будущих исследований.</w:t>
            </w:r>
          </w:p>
          <w:p w14:paraId="6DA4934B" w14:textId="2CADACF3" w:rsidRDefault="005A133E" w:rsidP="00FA1D20">
            <w:r>
              <w:t>Деньгина Наталья Владимировна к.м.н., заведующая радиологическим отделением ГУЗ «Областной клинический онкологический диспансер», директор Центра лучевой терапии “R-Spei”. Ульяновск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12:10-12:25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12:25-12:55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«Операция или системная терапия в случае наличия резектабельных метастазов?»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предполагается обсудить литературные данные, основные показания и противопоказания к выполнению метастазэктомии из легких. Будет освещена методика и дана оценка основным прогностическим критериям при изолированной химиоперфузии легкого - как способа улучшения результатов метастазэктомии.</w:t>
            </w:r>
          </w:p>
          <w:p w14:paraId="6DA4934B" w14:textId="2CADACF3" w:rsidRDefault="005A133E" w:rsidP="00FA1D20">
            <w:r>
              <w:t>Левченко Евгений Владимирович Чл.-корр. РАН, заведующий научным отделением торакальной онкологии, ФГБУ «НМИЦ онкологии им. Н.Н. Петрова» МР.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12:55-13:10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13:10-13:25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«Пациенты с меланомой с высоким риском рецидива после хирургического лечения. Прогноз, диагностика, стадирование»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«Скопинфарм» (не обеспечивается кредитами НМО)</w:t>
            </w:r>
          </w:p>
          <w:p w14:paraId="6DA4934B" w14:textId="2CADACF3" w:rsidRDefault="005A133E" w:rsidP="00FA1D20">
            <w:r>
              <w:t>Егоренков Виталий Викторович к.м.н., заместитель директора по медицинской части (по хирургической помощи) ГБУЗ «СПбКНпЦСВМП(о)». Доцент кафедры онкологии ЧОУ "Санкт-Петербургский медико-социальный институт".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13:25-13:40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13:40-14:10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«Имеет ли место лечебная лучевая терапия при опухолях костей и саркомах мягких тканей?»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слушатели получат информацию о месте лучевой терапии в лечении костных и мягкотканных сарком. Предлагается обсудить возможности оценки радиочувствительности и пути преодоления радиорезистентности сарком, перспективы персонализированного подхода для выбора оптимальной схемы многокомпонентного лечения.</w:t>
            </w:r>
          </w:p>
          <w:p w14:paraId="6DA4934B" w14:textId="2CADACF3" w:rsidRDefault="005A133E" w:rsidP="00FA1D20">
            <w:r>
              <w:t>Шарабура Татьяна Михайловна к.м.н., заведующая радиотерапевтическим отделением ГБУЗ «СПбКНпЦСВМП(о)», доцент кафедры лучевой диагностики и лучевой терапии ФГБОУ ВО «Северо-Западный государственный медицинский университет имени И.И. Мечникова» МР.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14:10-14:25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14:25-14:40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«Лекарственная терапия BRCA-ассоциированного рака поджелудочной железы»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«Астра Зенека» (не обеспечивается кредитами НМО)</w:t>
            </w:r>
          </w:p>
          <w:p w14:paraId="6DA4934B" w14:textId="2CADACF3" w:rsidRDefault="005A133E" w:rsidP="00FA1D20">
            <w:r>
              <w:t>Волков Никита Михайлович к.м.н., начальник отделений химиотерапевтического и радиотерапевтического профиля ГБУЗ «СПбКНпЦСВМП(о)». 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14:40-15:10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«Роль иммунотерапии в реальной клинической практике»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«БМС» (не обеспечивается кредитами НМО)</w:t>
            </w:r>
          </w:p>
          <w:p w14:paraId="6DA4934B" w14:textId="2CADACF3" w:rsidRDefault="005A133E" w:rsidP="00FA1D20">
            <w:r>
              <w:t>Чубенко Вячеслав Андреевич к.м.н., заведующий отделением химиотерапии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15:10-15:15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</w:t>
            </w:r>
          </w:p>
          <w:p w14:paraId="1B497F47" w14:textId="7011E34E" w:rsidRDefault="005A133E" w:rsidP="005A133E">
            <w:pPr>
              <w:pStyle w:val="a7"/>
            </w:pPr>
            <w:r>
              <w:t>(не обеспечивается кредитами НМО)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15:15-15:25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Подведение итогов. Закрытие школы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143000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36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348370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913961" cy="457200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251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